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A6D238">
      <w:pPr>
        <w:pStyle w:val="6"/>
        <w:shd w:val="clear" w:color="auto" w:fill="FFFFFF"/>
        <w:spacing w:before="0" w:beforeAutospacing="0" w:after="0" w:afterAutospacing="0" w:line="276" w:lineRule="auto"/>
        <w:jc w:val="center"/>
        <w:rPr>
          <w:rStyle w:val="10"/>
          <w:rFonts w:hint="eastAsia"/>
          <w:sz w:val="32"/>
          <w:szCs w:val="32"/>
        </w:rPr>
      </w:pPr>
      <w:r>
        <w:rPr>
          <w:rStyle w:val="10"/>
          <w:rFonts w:hint="eastAsia"/>
          <w:sz w:val="32"/>
          <w:szCs w:val="32"/>
        </w:rPr>
        <w:t>开平市月山镇牛山片区控制性详细规划</w:t>
      </w:r>
    </w:p>
    <w:p w14:paraId="0F4E6164">
      <w:pPr>
        <w:pStyle w:val="6"/>
        <w:shd w:val="clear" w:color="auto" w:fill="FFFFFF"/>
        <w:spacing w:before="0" w:beforeAutospacing="0" w:after="0" w:afterAutospacing="0" w:line="276" w:lineRule="auto"/>
        <w:jc w:val="center"/>
        <w:rPr>
          <w:rStyle w:val="10"/>
          <w:rFonts w:hint="eastAsia"/>
          <w:sz w:val="32"/>
          <w:szCs w:val="32"/>
        </w:rPr>
      </w:pPr>
      <w:r>
        <w:rPr>
          <w:rStyle w:val="10"/>
          <w:rFonts w:hint="eastAsia"/>
          <w:sz w:val="32"/>
          <w:szCs w:val="32"/>
        </w:rPr>
        <w:t>（方案）公示简介</w:t>
      </w:r>
    </w:p>
    <w:p w14:paraId="483BDDE8">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textAlignment w:val="auto"/>
        <w:rPr>
          <w:rFonts w:ascii="微软雅黑" w:hAnsi="微软雅黑" w:eastAsia="微软雅黑"/>
          <w:sz w:val="28"/>
          <w:szCs w:val="28"/>
        </w:rPr>
      </w:pPr>
      <w:r>
        <w:rPr>
          <w:rStyle w:val="10"/>
          <w:rFonts w:hint="eastAsia"/>
          <w:sz w:val="28"/>
          <w:szCs w:val="28"/>
        </w:rPr>
        <w:t>一、规划范围</w:t>
      </w:r>
    </w:p>
    <w:p w14:paraId="4AC92820">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规划范围：本</w:t>
      </w:r>
      <w:r>
        <w:rPr>
          <w:rFonts w:hint="eastAsia"/>
          <w:highlight w:val="none"/>
        </w:rPr>
        <w:t>项目位于开平市</w:t>
      </w:r>
      <w:r>
        <w:rPr>
          <w:rFonts w:hint="eastAsia"/>
          <w:highlight w:val="none"/>
          <w:lang w:val="en-US" w:eastAsia="zh-CN"/>
        </w:rPr>
        <w:t>月山镇北二村内</w:t>
      </w:r>
      <w:r>
        <w:rPr>
          <w:rFonts w:hint="eastAsia"/>
          <w:highlight w:val="none"/>
          <w:lang w:eastAsia="zh-CN"/>
        </w:rPr>
        <w:t>，东</w:t>
      </w:r>
      <w:r>
        <w:rPr>
          <w:rFonts w:hint="eastAsia"/>
          <w:highlight w:val="none"/>
          <w:lang w:val="en-US" w:eastAsia="zh-CN"/>
        </w:rPr>
        <w:t>接新坡</w:t>
      </w:r>
      <w:r>
        <w:rPr>
          <w:rFonts w:hint="eastAsia"/>
          <w:highlight w:val="none"/>
          <w:lang w:eastAsia="zh-CN"/>
        </w:rPr>
        <w:t>，西</w:t>
      </w:r>
      <w:r>
        <w:rPr>
          <w:rFonts w:hint="eastAsia"/>
          <w:highlight w:val="none"/>
          <w:lang w:val="en-US" w:eastAsia="zh-CN"/>
        </w:rPr>
        <w:t>邻神谭鱼塘</w:t>
      </w:r>
      <w:r>
        <w:rPr>
          <w:rFonts w:hint="eastAsia"/>
          <w:highlight w:val="none"/>
          <w:lang w:eastAsia="zh-CN"/>
        </w:rPr>
        <w:t>，南</w:t>
      </w:r>
      <w:r>
        <w:rPr>
          <w:rFonts w:hint="eastAsia"/>
          <w:highlight w:val="none"/>
          <w:lang w:val="en-US" w:eastAsia="zh-CN"/>
        </w:rPr>
        <w:t>邻莲塘山</w:t>
      </w:r>
      <w:r>
        <w:rPr>
          <w:rFonts w:hint="eastAsia"/>
          <w:highlight w:val="none"/>
          <w:lang w:eastAsia="zh-CN"/>
        </w:rPr>
        <w:t>，</w:t>
      </w:r>
      <w:r>
        <w:rPr>
          <w:rFonts w:hint="eastAsia"/>
          <w:highlight w:val="none"/>
          <w:lang w:val="en-US" w:eastAsia="zh-CN"/>
        </w:rPr>
        <w:t>北接神谭山，</w:t>
      </w:r>
      <w:r>
        <w:rPr>
          <w:rFonts w:hint="eastAsia"/>
          <w:highlight w:val="none"/>
          <w:lang w:eastAsia="zh-CN"/>
        </w:rPr>
        <w:t>规划范围总面积为</w:t>
      </w:r>
      <w:r>
        <w:rPr>
          <w:rFonts w:hint="eastAsia"/>
          <w:highlight w:val="none"/>
          <w:lang w:val="en-US" w:eastAsia="zh-CN"/>
        </w:rPr>
        <w:t>29.61</w:t>
      </w:r>
      <w:r>
        <w:rPr>
          <w:rFonts w:hint="eastAsia"/>
          <w:highlight w:val="none"/>
          <w:lang w:eastAsia="zh-CN"/>
        </w:rPr>
        <w:t>公顷，合</w:t>
      </w:r>
      <w:r>
        <w:rPr>
          <w:rFonts w:hint="eastAsia"/>
          <w:highlight w:val="none"/>
          <w:lang w:val="en-US" w:eastAsia="zh-CN"/>
        </w:rPr>
        <w:t>444.15</w:t>
      </w:r>
      <w:r>
        <w:rPr>
          <w:rFonts w:hint="eastAsia"/>
          <w:highlight w:val="none"/>
          <w:lang w:eastAsia="zh-CN"/>
        </w:rPr>
        <w:t>亩</w:t>
      </w:r>
      <w:r>
        <w:rPr>
          <w:rFonts w:hint="eastAsia" w:ascii="宋体" w:hAnsi="宋体" w:eastAsia="宋体" w:cs="宋体"/>
          <w:kern w:val="0"/>
          <w:sz w:val="24"/>
          <w:szCs w:val="24"/>
          <w:highlight w:val="none"/>
          <w:lang w:val="en-US" w:eastAsia="zh-CN" w:bidi="ar-SA"/>
        </w:rPr>
        <w:t>。</w:t>
      </w:r>
    </w:p>
    <w:p w14:paraId="6B2C7D36">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textAlignment w:val="auto"/>
        <w:rPr>
          <w:rFonts w:ascii="微软雅黑" w:hAnsi="微软雅黑" w:eastAsia="微软雅黑"/>
          <w:sz w:val="28"/>
          <w:szCs w:val="28"/>
          <w:highlight w:val="none"/>
        </w:rPr>
      </w:pPr>
      <w:r>
        <w:rPr>
          <w:rStyle w:val="10"/>
          <w:rFonts w:hint="eastAsia"/>
          <w:sz w:val="28"/>
          <w:szCs w:val="28"/>
          <w:highlight w:val="none"/>
        </w:rPr>
        <w:t>二、功能定位</w:t>
      </w:r>
    </w:p>
    <w:p w14:paraId="29EAB917">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cs="宋体"/>
          <w:sz w:val="24"/>
          <w:szCs w:val="24"/>
          <w:highlight w:val="none"/>
          <w:lang w:val="en-US" w:eastAsia="zh-CN"/>
        </w:rPr>
      </w:pPr>
      <w:r>
        <w:rPr>
          <w:rFonts w:hint="eastAsia" w:cs="宋体"/>
          <w:sz w:val="24"/>
          <w:szCs w:val="24"/>
          <w:highlight w:val="none"/>
          <w:lang w:val="en-US" w:eastAsia="zh-CN"/>
        </w:rPr>
        <w:t>功能定位：充分利用片区资源，将规划区打造成能为开平市及周边地区建筑材料市场提供建筑用砂石料的采矿开发片区。</w:t>
      </w:r>
    </w:p>
    <w:p w14:paraId="5DAE6628">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textAlignment w:val="auto"/>
        <w:rPr>
          <w:rFonts w:ascii="微软雅黑" w:hAnsi="微软雅黑" w:eastAsia="微软雅黑"/>
          <w:sz w:val="28"/>
          <w:szCs w:val="28"/>
          <w:highlight w:val="none"/>
        </w:rPr>
      </w:pPr>
      <w:r>
        <w:rPr>
          <w:rStyle w:val="10"/>
          <w:rFonts w:hint="eastAsia"/>
          <w:sz w:val="28"/>
          <w:szCs w:val="28"/>
          <w:highlight w:val="none"/>
        </w:rPr>
        <w:t>三、规划方案</w:t>
      </w:r>
    </w:p>
    <w:p w14:paraId="1AA7D590">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黑体" w:hAnsi="黑体" w:eastAsia="黑体" w:cs="黑体"/>
          <w:highlight w:val="none"/>
          <w:lang w:val="en-US" w:eastAsia="zh-CN"/>
        </w:rPr>
      </w:pPr>
      <w:r>
        <w:rPr>
          <w:rStyle w:val="10"/>
          <w:rFonts w:hint="eastAsia" w:ascii="黑体" w:hAnsi="黑体" w:eastAsia="黑体" w:cs="黑体"/>
          <w:highlight w:val="none"/>
        </w:rPr>
        <w:t>1、</w:t>
      </w:r>
      <w:r>
        <w:rPr>
          <w:rStyle w:val="10"/>
          <w:rFonts w:hint="eastAsia" w:ascii="黑体" w:hAnsi="黑体" w:eastAsia="黑体" w:cs="黑体"/>
          <w:highlight w:val="none"/>
          <w:lang w:val="en-US" w:eastAsia="zh-CN"/>
        </w:rPr>
        <w:t>人口规模</w:t>
      </w:r>
    </w:p>
    <w:p w14:paraId="469ABEF3">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0"/>
          <w:rFonts w:hint="eastAsia" w:ascii="黑体" w:hAnsi="黑体" w:eastAsia="宋体" w:cs="黑体"/>
          <w:highlight w:val="none"/>
          <w:lang w:val="en-US" w:eastAsia="zh-CN"/>
        </w:rPr>
      </w:pPr>
      <w:r>
        <w:rPr>
          <w:rFonts w:hint="eastAsia"/>
          <w:highlight w:val="none"/>
          <w:lang w:val="en-US" w:eastAsia="zh-CN"/>
        </w:rPr>
        <w:t>预测</w:t>
      </w:r>
      <w:r>
        <w:rPr>
          <w:rFonts w:hint="eastAsia"/>
          <w:highlight w:val="none"/>
        </w:rPr>
        <w:t>规划</w:t>
      </w:r>
      <w:r>
        <w:rPr>
          <w:rFonts w:hint="eastAsia"/>
          <w:highlight w:val="none"/>
          <w:lang w:val="en-US" w:eastAsia="zh-CN"/>
        </w:rPr>
        <w:t>范围</w:t>
      </w:r>
      <w:r>
        <w:rPr>
          <w:rFonts w:hint="eastAsia"/>
          <w:highlight w:val="none"/>
        </w:rPr>
        <w:t>人口规模约为</w:t>
      </w:r>
      <w:r>
        <w:rPr>
          <w:rFonts w:hint="eastAsia"/>
          <w:highlight w:val="none"/>
          <w:lang w:val="en-US" w:eastAsia="zh-CN"/>
        </w:rPr>
        <w:t>131</w:t>
      </w:r>
      <w:r>
        <w:rPr>
          <w:rFonts w:hint="eastAsia"/>
          <w:highlight w:val="none"/>
        </w:rPr>
        <w:t>人</w:t>
      </w:r>
      <w:r>
        <w:rPr>
          <w:rFonts w:hint="eastAsia"/>
          <w:highlight w:val="none"/>
          <w:lang w:eastAsia="zh-CN"/>
        </w:rPr>
        <w:t>。</w:t>
      </w:r>
    </w:p>
    <w:p w14:paraId="444CF00C">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sz w:val="21"/>
          <w:szCs w:val="21"/>
          <w:highlight w:val="none"/>
        </w:rPr>
      </w:pPr>
      <w:r>
        <w:rPr>
          <w:rStyle w:val="10"/>
          <w:rFonts w:hint="eastAsia" w:ascii="黑体" w:hAnsi="黑体" w:eastAsia="黑体" w:cs="黑体"/>
          <w:highlight w:val="none"/>
          <w:lang w:val="en-US" w:eastAsia="zh-CN"/>
        </w:rPr>
        <w:t>2、</w:t>
      </w:r>
      <w:r>
        <w:rPr>
          <w:rStyle w:val="10"/>
          <w:rFonts w:hint="eastAsia" w:ascii="黑体" w:hAnsi="黑体" w:eastAsia="黑体" w:cs="黑体"/>
          <w:highlight w:val="none"/>
        </w:rPr>
        <w:t>用地布局及规划 </w:t>
      </w:r>
    </w:p>
    <w:p w14:paraId="136841DD">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cs="宋体"/>
          <w:sz w:val="24"/>
          <w:szCs w:val="24"/>
          <w:highlight w:val="none"/>
          <w:lang w:val="en-US" w:eastAsia="zh-CN"/>
        </w:rPr>
      </w:pPr>
      <w:r>
        <w:rPr>
          <w:rFonts w:hint="eastAsia" w:cs="宋体"/>
          <w:sz w:val="24"/>
          <w:szCs w:val="24"/>
          <w:highlight w:val="none"/>
          <w:lang w:val="en-US" w:eastAsia="zh-CN"/>
        </w:rPr>
        <w:t>规划范围总面积约29.61公顷（约444.15亩），包括耕地（01）1.84公顷，园地（02）5.21公顷，林地（03）12.82公顷，草地（04）0.08公顷，农业设施建设用地（06）0.50公顷，工矿用地（10）6.51公顷，交通运输用地（12）1.81</w:t>
      </w:r>
      <w:bookmarkStart w:id="0" w:name="_GoBack"/>
      <w:bookmarkEnd w:id="0"/>
      <w:r>
        <w:rPr>
          <w:rFonts w:hint="eastAsia" w:cs="宋体"/>
          <w:sz w:val="24"/>
          <w:szCs w:val="24"/>
          <w:highlight w:val="none"/>
          <w:lang w:val="en-US" w:eastAsia="zh-CN"/>
        </w:rPr>
        <w:t>公顷，陆地水域（17）0.84公顷。</w:t>
      </w:r>
    </w:p>
    <w:p w14:paraId="2FC47E4D">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黑体" w:hAnsi="黑体" w:eastAsia="黑体" w:cs="黑体"/>
          <w:highlight w:val="none"/>
        </w:rPr>
      </w:pPr>
      <w:r>
        <w:rPr>
          <w:rStyle w:val="10"/>
          <w:rFonts w:hint="eastAsia" w:ascii="黑体" w:hAnsi="黑体" w:eastAsia="黑体" w:cs="黑体"/>
          <w:highlight w:val="none"/>
          <w:lang w:val="en-US" w:eastAsia="zh-CN"/>
        </w:rPr>
        <w:t>3、</w:t>
      </w:r>
      <w:r>
        <w:rPr>
          <w:rStyle w:val="10"/>
          <w:rFonts w:hint="eastAsia" w:ascii="黑体" w:hAnsi="黑体" w:eastAsia="黑体" w:cs="黑体"/>
          <w:highlight w:val="none"/>
        </w:rPr>
        <w:t>公共服务设施规划</w:t>
      </w:r>
    </w:p>
    <w:p w14:paraId="5D0E2932">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cs="宋体"/>
          <w:sz w:val="24"/>
          <w:szCs w:val="24"/>
          <w:highlight w:val="none"/>
          <w:lang w:val="en-US" w:eastAsia="zh-CN"/>
        </w:rPr>
      </w:pPr>
      <w:r>
        <w:rPr>
          <w:rFonts w:hint="eastAsia" w:cs="宋体"/>
          <w:sz w:val="24"/>
          <w:szCs w:val="24"/>
          <w:highlight w:val="none"/>
          <w:lang w:val="en-US" w:eastAsia="zh-CN"/>
        </w:rPr>
        <w:t>本规划范围未规划相关公共服务设施，规划区可依托周边村落及镇区公共服务设施满足需求。</w:t>
      </w:r>
    </w:p>
    <w:p w14:paraId="7017841E">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textAlignment w:val="auto"/>
        <w:rPr>
          <w:rStyle w:val="10"/>
          <w:rFonts w:hint="eastAsia" w:ascii="黑体" w:hAnsi="黑体" w:eastAsia="黑体" w:cs="黑体"/>
          <w:highlight w:val="none"/>
        </w:rPr>
      </w:pPr>
      <w:r>
        <w:rPr>
          <w:rStyle w:val="10"/>
          <w:rFonts w:hint="eastAsia" w:ascii="黑体" w:hAnsi="黑体" w:eastAsia="黑体" w:cs="黑体"/>
          <w:highlight w:val="none"/>
          <w:lang w:val="en-US" w:eastAsia="zh-CN"/>
        </w:rPr>
        <w:t>4、</w:t>
      </w:r>
      <w:r>
        <w:rPr>
          <w:rStyle w:val="10"/>
          <w:rFonts w:hint="eastAsia" w:ascii="黑体" w:hAnsi="黑体" w:eastAsia="黑体" w:cs="黑体"/>
          <w:highlight w:val="none"/>
        </w:rPr>
        <w:t>道路交通系统规划</w:t>
      </w:r>
    </w:p>
    <w:p w14:paraId="47BD98DD">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宋体" w:hAnsi="宋体" w:eastAsia="宋体" w:cs="宋体"/>
          <w:kern w:val="0"/>
          <w:sz w:val="24"/>
          <w:szCs w:val="24"/>
          <w:lang w:val="en-US" w:eastAsia="zh-CN" w:bidi="ar-SA"/>
        </w:rPr>
      </w:pPr>
      <w:r>
        <w:rPr>
          <w:rFonts w:hint="eastAsia" w:cs="宋体"/>
          <w:kern w:val="0"/>
          <w:highlight w:val="none"/>
          <w:lang w:val="en-US" w:eastAsia="zh-CN"/>
        </w:rPr>
        <w:t>规划范围内的道路等级均为支路级别，支路红线宽度为8米</w:t>
      </w:r>
      <w:r>
        <w:rPr>
          <w:rFonts w:hint="eastAsia" w:cs="宋体"/>
          <w:kern w:val="0"/>
          <w:sz w:val="24"/>
          <w:szCs w:val="24"/>
          <w:highlight w:val="none"/>
          <w:lang w:val="en-US" w:eastAsia="zh-CN" w:bidi="ar-SA"/>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D527EF"/>
    <w:multiLevelType w:val="multilevel"/>
    <w:tmpl w:val="3ED527EF"/>
    <w:lvl w:ilvl="0" w:tentative="0">
      <w:start w:val="1"/>
      <w:numFmt w:val="decimal"/>
      <w:lvlText w:val="第%1章"/>
      <w:lvlJc w:val="left"/>
      <w:pPr>
        <w:tabs>
          <w:tab w:val="left" w:pos="1440"/>
        </w:tabs>
        <w:ind w:left="432" w:hanging="432"/>
      </w:pPr>
      <w:rPr>
        <w:rFonts w:hint="eastAsia"/>
        <w:color w:val="auto"/>
      </w:rPr>
    </w:lvl>
    <w:lvl w:ilvl="1" w:tentative="0">
      <w:start w:val="1"/>
      <w:numFmt w:val="decimal"/>
      <w:pStyle w:val="3"/>
      <w:lvlText w:val="%1.%2"/>
      <w:lvlJc w:val="left"/>
      <w:pPr>
        <w:tabs>
          <w:tab w:val="left" w:pos="718"/>
        </w:tabs>
        <w:ind w:left="718" w:hanging="576"/>
      </w:pPr>
      <w:rPr>
        <w:rFonts w:hint="eastAsia"/>
      </w:rPr>
    </w:lvl>
    <w:lvl w:ilvl="2" w:tentative="0">
      <w:start w:val="1"/>
      <w:numFmt w:val="decimal"/>
      <w:lvlText w:val="%1.%2.%3"/>
      <w:lvlJc w:val="left"/>
      <w:pPr>
        <w:tabs>
          <w:tab w:val="left" w:pos="720"/>
        </w:tabs>
        <w:ind w:left="720" w:hanging="720"/>
      </w:pPr>
      <w:rPr>
        <w:rFonts w:hint="eastAsia" w:ascii="黑体" w:eastAsia="黑体"/>
      </w:rPr>
    </w:lvl>
    <w:lvl w:ilvl="3" w:tentative="0">
      <w:start w:val="1"/>
      <w:numFmt w:val="decimal"/>
      <w:lvlText w:val="%1.%2.%3.%4"/>
      <w:lvlJc w:val="left"/>
      <w:pPr>
        <w:tabs>
          <w:tab w:val="left" w:pos="540"/>
        </w:tabs>
        <w:ind w:left="540" w:firstLine="0"/>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E3YjJkYjc1MTU2ZWE2NzAxMDExNTM5MmY4YWIwODUifQ=="/>
  </w:docVars>
  <w:rsids>
    <w:rsidRoot w:val="00172A27"/>
    <w:rsid w:val="000063F7"/>
    <w:rsid w:val="00007492"/>
    <w:rsid w:val="00093B06"/>
    <w:rsid w:val="000B7AC9"/>
    <w:rsid w:val="000E5FA5"/>
    <w:rsid w:val="001321AE"/>
    <w:rsid w:val="0017392A"/>
    <w:rsid w:val="00185B01"/>
    <w:rsid w:val="001C1E8C"/>
    <w:rsid w:val="001C29EC"/>
    <w:rsid w:val="001D14A0"/>
    <w:rsid w:val="002825CF"/>
    <w:rsid w:val="002A60F3"/>
    <w:rsid w:val="002B4C4A"/>
    <w:rsid w:val="002D7191"/>
    <w:rsid w:val="00305306"/>
    <w:rsid w:val="00365655"/>
    <w:rsid w:val="003A09F0"/>
    <w:rsid w:val="003B7945"/>
    <w:rsid w:val="003C2DDC"/>
    <w:rsid w:val="003E757E"/>
    <w:rsid w:val="00462331"/>
    <w:rsid w:val="00480876"/>
    <w:rsid w:val="00485194"/>
    <w:rsid w:val="004876E1"/>
    <w:rsid w:val="004A2469"/>
    <w:rsid w:val="004B6620"/>
    <w:rsid w:val="004E6A8A"/>
    <w:rsid w:val="004E73E2"/>
    <w:rsid w:val="005021B4"/>
    <w:rsid w:val="00555721"/>
    <w:rsid w:val="00577F56"/>
    <w:rsid w:val="00582C31"/>
    <w:rsid w:val="00590BBA"/>
    <w:rsid w:val="00592C85"/>
    <w:rsid w:val="005B2417"/>
    <w:rsid w:val="0060507B"/>
    <w:rsid w:val="00635128"/>
    <w:rsid w:val="00645D5E"/>
    <w:rsid w:val="0065565B"/>
    <w:rsid w:val="006747D4"/>
    <w:rsid w:val="0067641A"/>
    <w:rsid w:val="0069579A"/>
    <w:rsid w:val="006C3EAC"/>
    <w:rsid w:val="006E2171"/>
    <w:rsid w:val="007024AA"/>
    <w:rsid w:val="007824E0"/>
    <w:rsid w:val="00787A6B"/>
    <w:rsid w:val="007C59BB"/>
    <w:rsid w:val="007D1224"/>
    <w:rsid w:val="007E7C90"/>
    <w:rsid w:val="008101DF"/>
    <w:rsid w:val="008152F8"/>
    <w:rsid w:val="00817518"/>
    <w:rsid w:val="008266D4"/>
    <w:rsid w:val="00843A36"/>
    <w:rsid w:val="00860DE9"/>
    <w:rsid w:val="00862424"/>
    <w:rsid w:val="008831A9"/>
    <w:rsid w:val="009232FA"/>
    <w:rsid w:val="00934901"/>
    <w:rsid w:val="00960DB9"/>
    <w:rsid w:val="00964F1F"/>
    <w:rsid w:val="00967C84"/>
    <w:rsid w:val="009733AB"/>
    <w:rsid w:val="00981EF4"/>
    <w:rsid w:val="009A0877"/>
    <w:rsid w:val="009B2350"/>
    <w:rsid w:val="009C62C6"/>
    <w:rsid w:val="009E6FFA"/>
    <w:rsid w:val="00A12143"/>
    <w:rsid w:val="00A21DA7"/>
    <w:rsid w:val="00A41939"/>
    <w:rsid w:val="00A77CD0"/>
    <w:rsid w:val="00AA2F90"/>
    <w:rsid w:val="00AC55AF"/>
    <w:rsid w:val="00AE6D35"/>
    <w:rsid w:val="00B23599"/>
    <w:rsid w:val="00B5733D"/>
    <w:rsid w:val="00B86724"/>
    <w:rsid w:val="00BD0917"/>
    <w:rsid w:val="00C0276D"/>
    <w:rsid w:val="00C454E8"/>
    <w:rsid w:val="00C719B7"/>
    <w:rsid w:val="00C931D1"/>
    <w:rsid w:val="00CC7A7F"/>
    <w:rsid w:val="00CE4561"/>
    <w:rsid w:val="00D34BC1"/>
    <w:rsid w:val="00D428EB"/>
    <w:rsid w:val="00D76B36"/>
    <w:rsid w:val="00D84F7D"/>
    <w:rsid w:val="00DB0B32"/>
    <w:rsid w:val="00DB5701"/>
    <w:rsid w:val="00DD1145"/>
    <w:rsid w:val="00DE7382"/>
    <w:rsid w:val="00E36C0F"/>
    <w:rsid w:val="00E61763"/>
    <w:rsid w:val="00EE1C99"/>
    <w:rsid w:val="00F35DE4"/>
    <w:rsid w:val="00F37E12"/>
    <w:rsid w:val="00F55078"/>
    <w:rsid w:val="00F61547"/>
    <w:rsid w:val="00F64A75"/>
    <w:rsid w:val="00FC2145"/>
    <w:rsid w:val="0132783D"/>
    <w:rsid w:val="01C1717D"/>
    <w:rsid w:val="022F568F"/>
    <w:rsid w:val="04CC0DDB"/>
    <w:rsid w:val="04D2599C"/>
    <w:rsid w:val="05017C52"/>
    <w:rsid w:val="058E0F4E"/>
    <w:rsid w:val="05BA7CE5"/>
    <w:rsid w:val="071F5D44"/>
    <w:rsid w:val="07A3318D"/>
    <w:rsid w:val="07E261C8"/>
    <w:rsid w:val="0844667A"/>
    <w:rsid w:val="08906613"/>
    <w:rsid w:val="09167A44"/>
    <w:rsid w:val="095011A8"/>
    <w:rsid w:val="095500B9"/>
    <w:rsid w:val="09A55C9F"/>
    <w:rsid w:val="0A1D786A"/>
    <w:rsid w:val="0AB34DE9"/>
    <w:rsid w:val="0AFC4DFA"/>
    <w:rsid w:val="0B0A45CF"/>
    <w:rsid w:val="0B1930FF"/>
    <w:rsid w:val="0C025D63"/>
    <w:rsid w:val="0C4F530A"/>
    <w:rsid w:val="0C615323"/>
    <w:rsid w:val="0CF946A3"/>
    <w:rsid w:val="0D37257E"/>
    <w:rsid w:val="0EB40831"/>
    <w:rsid w:val="0F7D7F68"/>
    <w:rsid w:val="1049459D"/>
    <w:rsid w:val="11287D75"/>
    <w:rsid w:val="12955380"/>
    <w:rsid w:val="12CF75E2"/>
    <w:rsid w:val="137F2DB6"/>
    <w:rsid w:val="13BB3E42"/>
    <w:rsid w:val="14F67DE0"/>
    <w:rsid w:val="156D72B5"/>
    <w:rsid w:val="15A563D8"/>
    <w:rsid w:val="16247C45"/>
    <w:rsid w:val="167504A0"/>
    <w:rsid w:val="16E476FB"/>
    <w:rsid w:val="1703491F"/>
    <w:rsid w:val="171E59F7"/>
    <w:rsid w:val="176215E4"/>
    <w:rsid w:val="17732C32"/>
    <w:rsid w:val="1780648E"/>
    <w:rsid w:val="17E354C7"/>
    <w:rsid w:val="17F3026C"/>
    <w:rsid w:val="18ED25C4"/>
    <w:rsid w:val="19AA220F"/>
    <w:rsid w:val="19DA2399"/>
    <w:rsid w:val="1CAA7D0E"/>
    <w:rsid w:val="1D896FFF"/>
    <w:rsid w:val="1DA6352A"/>
    <w:rsid w:val="1DF17F20"/>
    <w:rsid w:val="1EBA2EF4"/>
    <w:rsid w:val="1FA1680A"/>
    <w:rsid w:val="20563F43"/>
    <w:rsid w:val="210C4BBF"/>
    <w:rsid w:val="22250FCC"/>
    <w:rsid w:val="227D2897"/>
    <w:rsid w:val="231C1463"/>
    <w:rsid w:val="23924F38"/>
    <w:rsid w:val="23F368E4"/>
    <w:rsid w:val="23F86B47"/>
    <w:rsid w:val="241100FB"/>
    <w:rsid w:val="24976047"/>
    <w:rsid w:val="274837EC"/>
    <w:rsid w:val="28254389"/>
    <w:rsid w:val="28C7297B"/>
    <w:rsid w:val="29062E20"/>
    <w:rsid w:val="2A474F95"/>
    <w:rsid w:val="2BA939D9"/>
    <w:rsid w:val="2BFD474A"/>
    <w:rsid w:val="2C70289B"/>
    <w:rsid w:val="2CA671FF"/>
    <w:rsid w:val="2CD74FB6"/>
    <w:rsid w:val="2D2B4397"/>
    <w:rsid w:val="2D3E7C65"/>
    <w:rsid w:val="2D62768D"/>
    <w:rsid w:val="2ED07348"/>
    <w:rsid w:val="30401CC2"/>
    <w:rsid w:val="304822A2"/>
    <w:rsid w:val="309A638A"/>
    <w:rsid w:val="30BD2A45"/>
    <w:rsid w:val="30FE3CED"/>
    <w:rsid w:val="314F2D5E"/>
    <w:rsid w:val="32C14DF4"/>
    <w:rsid w:val="33FB0E60"/>
    <w:rsid w:val="34057613"/>
    <w:rsid w:val="344D0586"/>
    <w:rsid w:val="345D45F6"/>
    <w:rsid w:val="34823AEE"/>
    <w:rsid w:val="35422FD1"/>
    <w:rsid w:val="35B768E3"/>
    <w:rsid w:val="35FB29B3"/>
    <w:rsid w:val="362E2ACD"/>
    <w:rsid w:val="36421DF0"/>
    <w:rsid w:val="374321EA"/>
    <w:rsid w:val="37A12A4E"/>
    <w:rsid w:val="384358B1"/>
    <w:rsid w:val="39B657E8"/>
    <w:rsid w:val="39BD1693"/>
    <w:rsid w:val="39BE1C2F"/>
    <w:rsid w:val="39DA55F2"/>
    <w:rsid w:val="3A3C2A31"/>
    <w:rsid w:val="3A8D083E"/>
    <w:rsid w:val="3A994288"/>
    <w:rsid w:val="3B8942EB"/>
    <w:rsid w:val="3B963EB7"/>
    <w:rsid w:val="3BBF16F2"/>
    <w:rsid w:val="3BC84730"/>
    <w:rsid w:val="3C642299"/>
    <w:rsid w:val="3D655A23"/>
    <w:rsid w:val="3E170230"/>
    <w:rsid w:val="3E2221C7"/>
    <w:rsid w:val="3E847A96"/>
    <w:rsid w:val="3F5E1F0E"/>
    <w:rsid w:val="3F8268D6"/>
    <w:rsid w:val="3F92684D"/>
    <w:rsid w:val="410700D7"/>
    <w:rsid w:val="41A5277B"/>
    <w:rsid w:val="41D372F7"/>
    <w:rsid w:val="42103BBC"/>
    <w:rsid w:val="4236283F"/>
    <w:rsid w:val="42A83CBB"/>
    <w:rsid w:val="42B75CBB"/>
    <w:rsid w:val="43022295"/>
    <w:rsid w:val="433B795F"/>
    <w:rsid w:val="442D7C41"/>
    <w:rsid w:val="4471480B"/>
    <w:rsid w:val="44C87895"/>
    <w:rsid w:val="44F22B38"/>
    <w:rsid w:val="454D5FC1"/>
    <w:rsid w:val="4630493A"/>
    <w:rsid w:val="46B11D72"/>
    <w:rsid w:val="470E0525"/>
    <w:rsid w:val="48792F92"/>
    <w:rsid w:val="48BD345D"/>
    <w:rsid w:val="49CD7D3C"/>
    <w:rsid w:val="49D750DE"/>
    <w:rsid w:val="4A004CC2"/>
    <w:rsid w:val="4A0D2E3C"/>
    <w:rsid w:val="4A6F3CB4"/>
    <w:rsid w:val="4ABA150B"/>
    <w:rsid w:val="4AC408E4"/>
    <w:rsid w:val="4C0268C5"/>
    <w:rsid w:val="4C6B2115"/>
    <w:rsid w:val="4C6D0CF6"/>
    <w:rsid w:val="4E21623C"/>
    <w:rsid w:val="4F014F1D"/>
    <w:rsid w:val="4FED75BD"/>
    <w:rsid w:val="504F6C68"/>
    <w:rsid w:val="506E3F2C"/>
    <w:rsid w:val="5097059F"/>
    <w:rsid w:val="5167171C"/>
    <w:rsid w:val="522B34DF"/>
    <w:rsid w:val="5274194E"/>
    <w:rsid w:val="53645BF0"/>
    <w:rsid w:val="536E3F07"/>
    <w:rsid w:val="54134C00"/>
    <w:rsid w:val="54702F19"/>
    <w:rsid w:val="548C6C80"/>
    <w:rsid w:val="55054F72"/>
    <w:rsid w:val="55A41C2D"/>
    <w:rsid w:val="55FB150F"/>
    <w:rsid w:val="56434F6C"/>
    <w:rsid w:val="56AB2B47"/>
    <w:rsid w:val="57F329F7"/>
    <w:rsid w:val="584626E6"/>
    <w:rsid w:val="58703A05"/>
    <w:rsid w:val="596152C1"/>
    <w:rsid w:val="597E0E84"/>
    <w:rsid w:val="5AFC09D3"/>
    <w:rsid w:val="5B666BE3"/>
    <w:rsid w:val="5BED72C4"/>
    <w:rsid w:val="5BF512A7"/>
    <w:rsid w:val="5DA114A2"/>
    <w:rsid w:val="5DBA5609"/>
    <w:rsid w:val="5E5F7360"/>
    <w:rsid w:val="5EB4745D"/>
    <w:rsid w:val="5ED10CEF"/>
    <w:rsid w:val="5F341B65"/>
    <w:rsid w:val="60956D42"/>
    <w:rsid w:val="60CF77E6"/>
    <w:rsid w:val="60E35463"/>
    <w:rsid w:val="614D41B8"/>
    <w:rsid w:val="617D3332"/>
    <w:rsid w:val="61D26486"/>
    <w:rsid w:val="62C33C89"/>
    <w:rsid w:val="632061D8"/>
    <w:rsid w:val="635F53E5"/>
    <w:rsid w:val="63E83611"/>
    <w:rsid w:val="64504D2E"/>
    <w:rsid w:val="646F7F94"/>
    <w:rsid w:val="64EC4A56"/>
    <w:rsid w:val="65DA3FCB"/>
    <w:rsid w:val="66F52DAB"/>
    <w:rsid w:val="67074A64"/>
    <w:rsid w:val="67510220"/>
    <w:rsid w:val="67B527CF"/>
    <w:rsid w:val="682A0ED5"/>
    <w:rsid w:val="6A2C3370"/>
    <w:rsid w:val="6BB105E8"/>
    <w:rsid w:val="6BC47E21"/>
    <w:rsid w:val="6CDA5336"/>
    <w:rsid w:val="6D44575D"/>
    <w:rsid w:val="6D5A13F5"/>
    <w:rsid w:val="6DCD7F9E"/>
    <w:rsid w:val="6E3028AA"/>
    <w:rsid w:val="6F3A7AFB"/>
    <w:rsid w:val="705D7F1C"/>
    <w:rsid w:val="70DB07DA"/>
    <w:rsid w:val="713A478E"/>
    <w:rsid w:val="713E2DD6"/>
    <w:rsid w:val="71763CE1"/>
    <w:rsid w:val="717E3AFA"/>
    <w:rsid w:val="726C0FAD"/>
    <w:rsid w:val="7308096E"/>
    <w:rsid w:val="734C0482"/>
    <w:rsid w:val="738E20E0"/>
    <w:rsid w:val="74152BA4"/>
    <w:rsid w:val="76BA781F"/>
    <w:rsid w:val="78936A05"/>
    <w:rsid w:val="79320E48"/>
    <w:rsid w:val="794D64D7"/>
    <w:rsid w:val="7BB649DE"/>
    <w:rsid w:val="7BD0027A"/>
    <w:rsid w:val="7C125430"/>
    <w:rsid w:val="7C2B5F0B"/>
    <w:rsid w:val="7CA659DB"/>
    <w:rsid w:val="7E36112B"/>
    <w:rsid w:val="7E64072F"/>
    <w:rsid w:val="7F073E97"/>
    <w:rsid w:val="7F3E639F"/>
    <w:rsid w:val="7F944CB8"/>
    <w:rsid w:val="7FF471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autoRedefine/>
    <w:qFormat/>
    <w:uiPriority w:val="0"/>
    <w:pPr>
      <w:keepNext/>
      <w:keepLines/>
      <w:numPr>
        <w:ilvl w:val="1"/>
        <w:numId w:val="1"/>
      </w:numPr>
      <w:tabs>
        <w:tab w:val="left" w:pos="1440"/>
      </w:tabs>
      <w:spacing w:line="480" w:lineRule="auto"/>
      <w:ind w:firstLine="0" w:firstLineChars="0"/>
      <w:outlineLvl w:val="1"/>
    </w:pPr>
    <w:rPr>
      <w:rFonts w:ascii="Arial" w:hAnsi="Arial" w:eastAsia="黑体"/>
      <w:b/>
      <w:bCs/>
      <w:sz w:val="30"/>
      <w:szCs w:val="32"/>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customStyle="1" w:styleId="2">
    <w:name w:val="Default"/>
    <w:autoRedefine/>
    <w:unhideWhenUsed/>
    <w:qFormat/>
    <w:uiPriority w:val="0"/>
    <w:pPr>
      <w:widowControl w:val="0"/>
      <w:autoSpaceDE w:val="0"/>
      <w:autoSpaceDN w:val="0"/>
      <w:adjustRightInd w:val="0"/>
    </w:pPr>
    <w:rPr>
      <w:rFonts w:ascii="宋体" w:hAnsi="宋体" w:eastAsia="宋体" w:cs="Times New Roman"/>
      <w:color w:val="000000"/>
      <w:sz w:val="24"/>
      <w:lang w:val="en-US" w:eastAsia="zh-CN" w:bidi="ar-SA"/>
    </w:rPr>
  </w:style>
  <w:style w:type="paragraph" w:styleId="4">
    <w:name w:val="footer"/>
    <w:basedOn w:val="1"/>
    <w:link w:val="12"/>
    <w:autoRedefine/>
    <w:unhideWhenUsed/>
    <w:qFormat/>
    <w:uiPriority w:val="99"/>
    <w:pPr>
      <w:tabs>
        <w:tab w:val="center" w:pos="4153"/>
        <w:tab w:val="right" w:pos="8306"/>
      </w:tabs>
      <w:snapToGrid w:val="0"/>
      <w:jc w:val="left"/>
    </w:pPr>
    <w:rPr>
      <w:sz w:val="18"/>
      <w:szCs w:val="18"/>
    </w:rPr>
  </w:style>
  <w:style w:type="paragraph" w:styleId="5">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autoRedefine/>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autoRedefine/>
    <w:qFormat/>
    <w:uiPriority w:val="22"/>
    <w:rPr>
      <w:b/>
      <w:bCs/>
    </w:rPr>
  </w:style>
  <w:style w:type="character" w:customStyle="1" w:styleId="11">
    <w:name w:val="页眉 字符"/>
    <w:basedOn w:val="9"/>
    <w:link w:val="5"/>
    <w:autoRedefine/>
    <w:qFormat/>
    <w:uiPriority w:val="99"/>
    <w:rPr>
      <w:sz w:val="18"/>
      <w:szCs w:val="18"/>
    </w:rPr>
  </w:style>
  <w:style w:type="character" w:customStyle="1" w:styleId="12">
    <w:name w:val="页脚 字符"/>
    <w:basedOn w:val="9"/>
    <w:link w:val="4"/>
    <w:autoRedefine/>
    <w:qFormat/>
    <w:uiPriority w:val="99"/>
    <w:rPr>
      <w:sz w:val="18"/>
      <w:szCs w:val="18"/>
    </w:rPr>
  </w:style>
  <w:style w:type="character" w:customStyle="1" w:styleId="13">
    <w:name w:val="font01"/>
    <w:basedOn w:val="9"/>
    <w:autoRedefine/>
    <w:qFormat/>
    <w:uiPriority w:val="0"/>
    <w:rPr>
      <w:rFonts w:hint="eastAsia" w:ascii="黑体" w:hAnsi="宋体" w:eastAsia="黑体" w:cs="黑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380</Words>
  <Characters>433</Characters>
  <Lines>37</Lines>
  <Paragraphs>10</Paragraphs>
  <TotalTime>4</TotalTime>
  <ScaleCrop>false</ScaleCrop>
  <LinksUpToDate>false</LinksUpToDate>
  <CharactersWithSpaces>434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2020-09-14T07:48:00Z</dcterms:created>
  <dc:creator>mayn</dc:creator>
  <cp:lastModifiedBy>爱国摸仙周卫旗</cp:lastModifiedBy>
  <dcterms:modified xsi:type="dcterms:W3CDTF">2024-12-03T03:48:29Z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B260DA09AC9F45C4B7CCA4C60F8FD548_13</vt:lpwstr>
  </property>
</Properties>
</file>